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="0" w:beforeAutospacing="0" w:after="0" w:afterAutospacing="0" w:line="720" w:lineRule="atLeast"/>
        <w:jc w:val="center"/>
        <w:rPr>
          <w:rFonts w:hint="eastAsia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201</w:t>
      </w:r>
      <w:r>
        <w:rPr>
          <w:rFonts w:hint="eastAsia"/>
          <w:color w:val="000000"/>
          <w:sz w:val="28"/>
          <w:szCs w:val="28"/>
          <w:lang w:val="en-US" w:eastAsia="zh-CN"/>
        </w:rPr>
        <w:t>8</w:t>
      </w:r>
      <w:r>
        <w:rPr>
          <w:color w:val="000000"/>
          <w:sz w:val="28"/>
          <w:szCs w:val="28"/>
        </w:rPr>
        <w:t>年临床执业医师考试大纲</w:t>
      </w:r>
      <w:r>
        <w:rPr>
          <w:rFonts w:hint="eastAsia"/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>卫生法规</w:t>
      </w:r>
    </w:p>
    <w:p>
      <w:pPr>
        <w:pStyle w:val="6"/>
        <w:rPr>
          <w:sz w:val="18"/>
          <w:szCs w:val="18"/>
        </w:rPr>
      </w:pPr>
      <w:r>
        <w:rPr>
          <w:sz w:val="18"/>
          <w:szCs w:val="18"/>
        </w:rPr>
        <w:t>　　2017年临床执业医师考试大纲《卫生法规》已经正式公布，为帮助广大考生清晰了解2017年临床执业医师考试《卫生法规》大纲内容，</w:t>
      </w:r>
      <w:r>
        <w:rPr>
          <w:rFonts w:hint="eastAsia"/>
          <w:sz w:val="18"/>
          <w:szCs w:val="18"/>
          <w:lang w:eastAsia="zh-CN"/>
        </w:rPr>
        <w:t>医学考试在线</w:t>
      </w:r>
      <w:r>
        <w:rPr>
          <w:sz w:val="18"/>
          <w:szCs w:val="18"/>
        </w:rPr>
        <w:t>整理了考试大纲内容，请参加2017年临床执业医师考试的考生参考：</w:t>
      </w:r>
    </w:p>
    <w:p>
      <w:pPr>
        <w:rPr>
          <w:rFonts w:hint="eastAsia"/>
        </w:rPr>
      </w:pPr>
      <w:r>
        <w:rPr>
          <w:rFonts w:hint="eastAsia"/>
        </w:rPr>
        <w:t>免费下载：</w:t>
      </w:r>
      <w:r>
        <w:rPr>
          <w:sz w:val="18"/>
          <w:szCs w:val="18"/>
        </w:rPr>
        <w:t>2017年临床执业医师《卫生法规》考试大纲</w:t>
      </w:r>
    </w:p>
    <w:p/>
    <w:tbl>
      <w:tblPr>
        <w:tblStyle w:val="9"/>
        <w:tblW w:w="8987" w:type="dxa"/>
        <w:jc w:val="center"/>
        <w:tblCellSpacing w:w="0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91"/>
        <w:gridCol w:w="968"/>
        <w:gridCol w:w="653"/>
        <w:gridCol w:w="1861"/>
        <w:gridCol w:w="4014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1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</w:rPr>
              <w:t>单元</w:t>
            </w:r>
          </w:p>
        </w:tc>
        <w:tc>
          <w:tcPr>
            <w:tcW w:w="16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1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</w:rPr>
              <w:t>细目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1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</w:rPr>
              <w:t>要点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1491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一、</w:t>
            </w:r>
            <w:r>
              <w:fldChar w:fldCharType="begin"/>
            </w:r>
            <w:r>
              <w:instrText xml:space="preserve"> HYPERLINK "http://www.med66.com/zhiyeyishi/" \t "_blank" \o "执业医师" </w:instrText>
            </w:r>
            <w:r>
              <w:fldChar w:fldCharType="separate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执业医师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fldChar w:fldCharType="end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法</w:t>
            </w:r>
          </w:p>
        </w:tc>
        <w:tc>
          <w:tcPr>
            <w:tcW w:w="16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医师的基本要求及职责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2.考试和注册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（1）参加</w:t>
            </w:r>
            <w:r>
              <w:fldChar w:fldCharType="begin"/>
            </w:r>
            <w:r>
              <w:instrText xml:space="preserve"> HYPERLINK "http://www.med66.com/yishizigekaoshi/" \t "_blank" \o "医师资格考试" </w:instrText>
            </w:r>
            <w:r>
              <w:fldChar w:fldCharType="separate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医师资格考试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fldChar w:fldCharType="end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的条件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</w:t>
            </w:r>
            <w:r>
              <w:fldChar w:fldCharType="begin"/>
            </w:r>
            <w:r>
              <w:instrText xml:space="preserve"> HYPERLINK "http://www.med66.com/yishizigekaoshi/" \t "_blank" \o "医师资格" </w:instrText>
            </w:r>
            <w:r>
              <w:fldChar w:fldCharType="separate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医师资格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fldChar w:fldCharType="end"/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种类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（3）医师执业注册及其执业条件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（4）准予注册、不予注册、注销注册、变更注册、重新注册的适用条件及法定要求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（5）对不予注册、注销注册持有异议的法律救济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3.执业规则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（1）医师在执业活动中的权利和义务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（2）医师执业要求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（3）执业助理医师的执业范围与要求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4.考核和培训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（1）医师考核内容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（2）医师考核不合格的处理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（3）表彰与奖励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4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5.法律责任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违法行为及其法律责任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1491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二、医疗机构管理条例及其实施细则</w:t>
            </w:r>
          </w:p>
        </w:tc>
        <w:tc>
          <w:tcPr>
            <w:tcW w:w="16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医疗机构服务宗旨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2.医疗机构执业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（1）医疗机构执业要求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（2）医疗机构执业规则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3.登记和校验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（1）医疗机构的登记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（2）医疗机构的校验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1491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621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4.法律责任</w:t>
            </w:r>
          </w:p>
        </w:tc>
        <w:tc>
          <w:tcPr>
            <w:tcW w:w="5875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医疗机构的法律责任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8987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tbl>
            <w:tblPr>
              <w:tblStyle w:val="9"/>
              <w:tblW w:w="8941" w:type="dxa"/>
              <w:jc w:val="center"/>
              <w:tblCellSpacing w:w="15" w:type="dxa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none" w:color="auto" w:sz="0" w:space="0"/>
                <w:insideV w:val="none" w:color="auto" w:sz="0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434"/>
              <w:gridCol w:w="3059"/>
              <w:gridCol w:w="4448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三、医疗事故处理条例</w:t>
                  </w:r>
                </w:p>
              </w:tc>
              <w:tc>
                <w:tcPr>
                  <w:tcW w:w="3029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1.概述</w:t>
                  </w: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（1）处理医疗事故的原则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（2）处理医疗事故的基本要求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2.医疗事故的预防与处置</w:t>
                  </w: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（1）病历书写、复印或者复制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（2）告知与报告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（3）病历资料的封存与启封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（4）尸检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3.医疗事故的技术鉴定</w:t>
                  </w: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（1）鉴定的提起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（2）鉴定组织及其分工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（3）鉴定专家组的产生和组成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（4）鉴定原则和依据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（5）鉴定程序和要求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（6）不属于医疗事故的情形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4.医疗事故的行政处理与监督</w:t>
                  </w: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（1）卫生行政部门对重大医疗过失行为报告的处理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（2）卫生行政部门的责任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5.医疗事故的赔偿</w:t>
                  </w: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医疗事故赔偿争议的解决途径及要求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6.法律责任</w:t>
                  </w: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（1）卫生行政部门的法律责任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（2）医疗机构的法律责任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（3）医务人员的法律责任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138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029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440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（4）非法行医造成患者人身损害的法律责任</w:t>
                  </w:r>
                </w:p>
              </w:tc>
            </w:tr>
          </w:tbl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四、母婴保健法及其实施办法</w:t>
            </w: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（1）母婴保健工作方针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（2）母婴保健技术服务事项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2.婚前保健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（1）婚前保健的内容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（2）婚前医学检查意见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3.孕产期保健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（1）孕产期保健服务的内容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（2）孕产期医学指导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（3）终止妊娠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（4）新生儿出生医学证明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（5）产妇、婴儿以及新生儿出生缺陷报告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4.技术鉴定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（1）鉴定机构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（2）鉴定人员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（3）回避制度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5.行政管理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母婴保健专项技术许可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违法行为及其法律责任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五、传染病防治法</w:t>
            </w: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（1）传染病防治原则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（2）传染病的分类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（3）甲类传染病预防控制措施的适用范围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2.传染病预防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（1）预防接种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（2）传染病监测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（3）传染病预警制度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（4）传染病菌种、毒种管理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（5）疾病预防控制机构的职责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（6）医疗机构的职责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（7）传染病病人、病原携带者和疑似传染病病人合法权益保护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3.疫情报告、通报和公布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（1）传染病疫情的报告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（2）传染病疫情的通报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（3）传染病疫情信息的公布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4.疫情控制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（1）传染病控制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（2）紧急措施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（3）疫区封锁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5.医疗救治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（1）医疗救治服务网络建设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（2）提高传染病医疗救治能力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（3）医疗机构开展医疗救治的规定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（1）疾病预防控制机构的法律责任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（2）医疗机构的法律责任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六、艾滋病防治条例</w:t>
            </w: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（1）艾滋病防治原则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（2）不歧视规定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2.预防与控制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（1）艾滋病监测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（2）艾滋病自愿咨询和自愿检测制度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（3）艾滋病患者隐私权的保护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（4）采集或使用人体血液、血浆、组织的管理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3.治疗与救助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医疗卫生机构的责任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医疗卫生机构的法律责任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七、突发公共卫生事件应急条例</w:t>
            </w: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突发公共卫生事件的范围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2.报告与信息发布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（1）突发公共卫生事件的报告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（2）突发公共卫生事件的信息发布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医疗卫生机构的法律责任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八、药品管理法</w:t>
            </w: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药品的范围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2.药品管理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（1）禁止生产、销售假药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（2）禁止生产、销售劣药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3.药品监督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药品不良反应报告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违法收受财物或者其他利益的法律责任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8987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tbl>
            <w:tblPr>
              <w:tblStyle w:val="9"/>
              <w:tblW w:w="8941" w:type="dxa"/>
              <w:jc w:val="center"/>
              <w:tblCellSpacing w:w="15" w:type="dxa"/>
              <w:tblInd w:w="1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none" w:color="auto" w:sz="0" w:space="0"/>
                <w:insideV w:val="none" w:color="auto" w:sz="0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513"/>
              <w:gridCol w:w="2535"/>
              <w:gridCol w:w="3893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2468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九、麻醉药品和精神药品管理条例</w:t>
                  </w:r>
                </w:p>
              </w:tc>
              <w:tc>
                <w:tcPr>
                  <w:tcW w:w="2505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1.概述</w:t>
                  </w:r>
                </w:p>
              </w:tc>
              <w:tc>
                <w:tcPr>
                  <w:tcW w:w="3848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临床使用原则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2468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2505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2.</w:t>
                  </w:r>
                  <w:bookmarkStart w:id="0" w:name="_GoBack"/>
                  <w:bookmarkEnd w:id="0"/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麻醉药品和精神药品的使用</w:t>
                  </w:r>
                </w:p>
              </w:tc>
              <w:tc>
                <w:tcPr>
                  <w:tcW w:w="3848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（1）麻醉药品、第一类精神药品购用印鉴卡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2468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2505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848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（2）麻醉药物和精神药品处方权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2468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2505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848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（3）麻醉药品、第一类精神药品的使用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2468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2505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3.法律责任</w:t>
                  </w:r>
                </w:p>
              </w:tc>
              <w:tc>
                <w:tcPr>
                  <w:tcW w:w="3848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（1）医疗机构的法律责任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2468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2505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848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（2）具有麻醉药品和第一类精神药品处方资格医师的法律责任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blCellSpacing w:w="15" w:type="dxa"/>
                <w:jc w:val="center"/>
              </w:trPr>
              <w:tc>
                <w:tcPr>
                  <w:tcW w:w="2468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2505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</w:p>
              </w:tc>
              <w:tc>
                <w:tcPr>
                  <w:tcW w:w="3848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color w:val="000000"/>
                      <w:kern w:val="0"/>
                      <w:szCs w:val="21"/>
                    </w:rPr>
                  </w:pPr>
                  <w:r>
                    <w:rPr>
                      <w:rFonts w:hint="eastAsia" w:ascii="宋体" w:hAnsi="宋体" w:cs="宋体"/>
                      <w:color w:val="000000"/>
                      <w:kern w:val="0"/>
                      <w:szCs w:val="21"/>
                    </w:rPr>
                    <w:t>（3）未取得麻醉药品和第一类精神药品处方资格医师的法律责任</w:t>
                  </w:r>
                </w:p>
              </w:tc>
            </w:tr>
          </w:tbl>
          <w:p>
            <w:pPr>
              <w:widowControl/>
              <w:spacing w:line="345" w:lineRule="atLeast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十、处方管理办法</w:t>
            </w: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处方开具与调剂原则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2.处方管理的一般规定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（1）处方书写规则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（2）药品剂量与数量的书写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3.处方权的获得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（1）处方权的取得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（2）开具处方的条件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4.处方的开具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（1）开具处方的规则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（2）开具处方的要求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5.监督管理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医疗机构对处方的管理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医师的法律责任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十一、献血法</w:t>
            </w: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无偿献血制度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2.医疗机构的职责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（1）医疗机构用血管理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（2）医疗机构用血要求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3.血站的责任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（1）采血要求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（2）供血要求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13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（1）医疗机构的法律责任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（2）血站的法律责任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十二、侵权责任法（医疗损害责任）</w:t>
            </w: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（1）医疗损害责任的赔偿主体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（2）推定医疗机构有过错的情形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（3）医疗机构不承担赔偿责任的情形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2.医疗机构承担赔偿责任的情形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（1）未尽到说明义务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（2）未尽到与当时医疗水平相应的诊疗义务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（3）泄露患者隐私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3.紧急情况医疗措施的实施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紧急情况实施相应医疗措施的条件和程序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4.病历资料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（1）病历资料的填写与保管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（2）病历资料的查阅与复制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5.对医疗行为的限制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不得违反诊疗规范实施不必要的检查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7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6.医疗机构及其医务人员权益保护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干扰医疗秩序和妨害医务人员工作、生活的法律后果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十三、放射诊疗管理规定</w:t>
            </w: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放射诊疗的分类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2.执业条件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（1）开展放射诊疗的基本条件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（2）安全防护装置、辐射检测仪器和个人防护用品的配备与使用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（3）设备和场所警示标志的设置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3.安全防护与质量保证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（1）放射诊疗设备和检测仪表的要求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（2）放射诊疗场所防护要求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（3）放射诊疗工作人员防护要求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（4）患者和受检查的防护要求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（5）放射诊断检查的原则和实施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（6）放射治疗的原则和实施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（7）放射事件的处理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医疗机构的法律责任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十四、抗菌药物临床应用管理办法</w:t>
            </w: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（1）抗菌药物临床应用的原则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（2）抗菌药物临床应用的分级管理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2.抗菌药物临床应用管理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（1）抗菌药物遴选和定期评估制度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（2）细菌耐药预警机制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（3）抗菌药物临床应用异常情况的调查和处理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（4）抗菌药物临床应用知识和规范化管理培训和考核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3.抗菌药物的临床应用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（1）抗菌药物处方权的授予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（2）抗菌药物预防感染指征的掌握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（3）特殊使用级抗菌药物的使用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（4）抗菌药物的越级使用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4.监督管理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（1）抗菌药物处方、医嘱点评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（2）对开具抗菌药物超常处方医师的处理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（3）取消医师抗菌药物处方权的情形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5.法律责任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（1）通过开具抗菌药物牟取不正当利益的法律责任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（2）医师违反抗菌药物临床应用规定的法律责任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十五、医疗机构临床用血管理办法</w:t>
            </w: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（1）加强医疗机构临床用血管理的目的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（2）医疗机构临床用血管理职责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2.临床用血管理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（1）临床用血计划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（2）医务人员职责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（3）临床用血申请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（4）签署临床输血治疗知情同意书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（5）临时采集血液必须同时符合的条件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（6）临床用血医学文书管理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（1）医疗机构的法律责任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（2）医务人员的法律责任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tblCellSpacing w:w="0" w:type="dxa"/>
          <w:jc w:val="center"/>
        </w:trPr>
        <w:tc>
          <w:tcPr>
            <w:tcW w:w="8987" w:type="dxa"/>
            <w:gridSpan w:val="5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  <w:tbl>
            <w:tblPr>
              <w:tblStyle w:val="9"/>
              <w:tblW w:w="8939" w:type="dxa"/>
              <w:jc w:val="center"/>
              <w:tblCellSpacing w:w="0" w:type="dxa"/>
              <w:tblInd w:w="2" w:type="dxa"/>
              <w:tblBorders>
                <w:top w:val="outset" w:color="auto" w:sz="6" w:space="0"/>
                <w:left w:val="outset" w:color="auto" w:sz="6" w:space="0"/>
                <w:bottom w:val="outset" w:color="auto" w:sz="6" w:space="0"/>
                <w:right w:val="outset" w:color="auto" w:sz="6" w:space="0"/>
                <w:insideH w:val="none" w:color="auto" w:sz="0" w:space="0"/>
                <w:insideV w:val="none" w:color="auto" w:sz="0" w:space="0"/>
              </w:tblBorders>
              <w:shd w:val="clear" w:color="auto" w:fill="FFFFFF"/>
              <w:tblLayout w:type="fixed"/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2558"/>
              <w:gridCol w:w="2608"/>
              <w:gridCol w:w="3773"/>
            </w:tblGrid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shd w:val="clear" w:color="auto" w:fill="FFFFFF"/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737" w:hRule="atLeast"/>
                <w:tblCellSpacing w:w="0" w:type="dxa"/>
                <w:jc w:val="center"/>
              </w:trPr>
              <w:tc>
                <w:tcPr>
                  <w:tcW w:w="2558" w:type="dxa"/>
                  <w:vMerge w:val="restart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十六、精神卫生法</w:t>
                  </w:r>
                </w:p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restart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概述</w:t>
                  </w: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（1）精神卫生工作的方针、原则和管理机制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286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（2精神障碍患者合法权益保护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821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心理健康促进和精神妨碍预防</w:t>
                  </w: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医务人员对就诊者的心理健康指导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restart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精神障碍的诊断和治疗</w:t>
                  </w: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（1）开展精神障碍诊断、治疗活动应当具备的条件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（2）精神障碍诊断、治疗的原则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（3）精神障碍的诊断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（4）精神障碍的住院治疗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（5）精神障碍的再次诊断和医学鉴定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（6）医疗机构及其医务人员应当履行的告知义务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（7）保护性医疗措施的实施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（8）对精神障碍患者使用药物的要求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（9）精神障碍患者的病历资料及保管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1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numPr>
                      <w:ilvl w:val="0"/>
                      <w:numId w:val="1"/>
                    </w:num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（10）心理治疗活动开展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05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restart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4.精神障碍的康复</w:t>
                  </w: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（1）医疗机构精神障碍康复技术指导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24" w:hRule="atLeast"/>
                <w:tblCellSpacing w:w="0" w:type="dxa"/>
                <w:jc w:val="center"/>
              </w:trPr>
              <w:tc>
                <w:tcPr>
                  <w:tcW w:w="2558" w:type="dxa"/>
                  <w:vMerge w:val="continue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vMerge w:val="continue"/>
                  <w:tcBorders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bottom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（2）严重精神障碍患者的健康档案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976" w:hRule="atLeast"/>
                <w:tblCellSpacing w:w="0" w:type="dxa"/>
                <w:jc w:val="center"/>
              </w:trPr>
              <w:tc>
                <w:tcPr>
                  <w:tcW w:w="2558" w:type="dxa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5、法律责任</w:t>
                  </w: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（1）医疗机构擅自从事从精神障碍诊断、治疗的法律责任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08" w:hRule="atLeast"/>
                <w:tblCellSpacing w:w="0" w:type="dxa"/>
                <w:jc w:val="center"/>
              </w:trPr>
              <w:tc>
                <w:tcPr>
                  <w:tcW w:w="2558" w:type="dxa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（2）医疗机构及其工作人员的法律责任</w:t>
                  </w:r>
                </w:p>
              </w:tc>
            </w:tr>
            <w:tr>
              <w:tblPrEx>
                <w:tblBorders>
                  <w:top w:val="outset" w:color="auto" w:sz="6" w:space="0"/>
                  <w:left w:val="outset" w:color="auto" w:sz="6" w:space="0"/>
                  <w:bottom w:val="outset" w:color="auto" w:sz="6" w:space="0"/>
                  <w:right w:val="outset" w:color="auto" w:sz="6" w:space="0"/>
                  <w:insideH w:val="none" w:color="auto" w:sz="0" w:space="0"/>
                  <w:insideV w:val="none" w:color="auto" w:sz="0" w:space="0"/>
                </w:tblBorders>
                <w:tblLayout w:type="fixed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42" w:hRule="atLeast"/>
                <w:tblCellSpacing w:w="0" w:type="dxa"/>
                <w:jc w:val="center"/>
              </w:trPr>
              <w:tc>
                <w:tcPr>
                  <w:tcW w:w="2558" w:type="dxa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widowControl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2608" w:type="dxa"/>
                  <w:tcBorders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</w:p>
              </w:tc>
              <w:tc>
                <w:tcPr>
                  <w:tcW w:w="3773" w:type="dxa"/>
                  <w:tcBorders>
                    <w:top w:val="outset" w:color="auto" w:sz="6" w:space="0"/>
                    <w:left w:val="outset" w:color="auto" w:sz="6" w:space="0"/>
                    <w:right w:val="outset" w:color="auto" w:sz="6" w:space="0"/>
                  </w:tcBorders>
                  <w:shd w:val="clear" w:color="auto" w:fill="FFFFFF"/>
                  <w:vAlign w:val="center"/>
                </w:tcPr>
                <w:p>
                  <w:pPr>
                    <w:spacing w:line="345" w:lineRule="atLeast"/>
                    <w:ind w:firstLine="360"/>
                    <w:jc w:val="left"/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>
                    <w:rPr>
                      <w:rFonts w:hint="eastAsia" w:ascii="宋体" w:hAnsi="宋体" w:cs="宋体"/>
                      <w:kern w:val="0"/>
                      <w:sz w:val="18"/>
                      <w:szCs w:val="18"/>
                    </w:rPr>
                    <w:t>（3）从事心理治疗人员的法律责任</w:t>
                  </w:r>
                </w:p>
              </w:tc>
            </w:tr>
          </w:tbl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十七、人体器官移植条例</w:t>
            </w: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（1）申请人体器官移植手术患者排序原则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（2）禁止买卖人体器官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2.人体器官的捐献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（1）人体器官捐献的原则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（2）捐献人体器官公民的条件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（3）人体器官捐献意愿的撤销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（4）活体器官捐献人的年龄条件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（5）活体器官接受人的条件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3.人体器官的移植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（1）人体器官移植诊疗科目登记和条件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（2）对人体器官捐献人的医学检查和接受人的风险评估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（3）人体器官移植的伦理审查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（4）摘取活体器官应当履行的义务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（5）摘取尸体器官的要求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（6）个人资料保密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（1）医疗机构的法律责任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（2）医务人员的法律责任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十八、疫苗流通和预防接种管理</w:t>
            </w:r>
          </w:p>
        </w:tc>
        <w:tc>
          <w:tcPr>
            <w:tcW w:w="2514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1.概述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疫苗的分类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2.疫苗接种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（1）疾病预防控制机构的职责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（2）群体性预防接种的管理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（3）儿童预防接种的管理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（4）疫苗接种单位的管理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（5）医疗卫生人员的责任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3.预防接种异常反应的处理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（1）不属于预防接种异常反应的情形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（2）预防接种异常反应的处理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（3）预防接种异常反应的鉴定及赔偿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4.法律责任</w:t>
            </w: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（1）疾病预防控制机构的法律责任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6" w:hRule="atLeast"/>
          <w:tblCellSpacing w:w="0" w:type="dxa"/>
          <w:jc w:val="center"/>
        </w:trPr>
        <w:tc>
          <w:tcPr>
            <w:tcW w:w="2459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14" w:type="dxa"/>
            <w:gridSpan w:val="2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014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345" w:lineRule="atLeast"/>
              <w:ind w:firstLine="36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（2）接种单位的法律责任</w:t>
            </w:r>
          </w:p>
        </w:tc>
      </w:tr>
    </w:tbl>
    <w:p>
      <w:pPr>
        <w:ind w:firstLine="420"/>
      </w:pPr>
    </w:p>
    <w:p>
      <w:pPr>
        <w:jc w:val="left"/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Theme="minorEastAsia" w:hAnsiTheme="minorEastAsia"/>
      </w:rPr>
    </w:pP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1257300" cy="392430"/>
          <wp:effectExtent l="0" t="0" r="0" b="7620"/>
          <wp:docPr id="1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IMG_25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57300" cy="392430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sz w:val="24"/>
        <w:szCs w:val="24"/>
        <w:lang w:val="en-US" w:eastAsia="zh-CN"/>
      </w:rPr>
      <w:t xml:space="preserve">                </w:t>
    </w:r>
    <w:r>
      <w:rPr>
        <w:rFonts w:hint="eastAsia" w:ascii="宋体" w:hAnsi="宋体" w:eastAsia="宋体" w:cs="宋体"/>
        <w:sz w:val="18"/>
        <w:szCs w:val="18"/>
        <w:lang w:val="en-US" w:eastAsia="zh-CN"/>
      </w:rPr>
      <w:t xml:space="preserve"> 网址：</w:t>
    </w:r>
    <w:r>
      <w:rPr>
        <w:rFonts w:hint="eastAsia" w:ascii="宋体" w:hAnsi="宋体" w:eastAsia="宋体" w:cs="宋体"/>
        <w:sz w:val="18"/>
        <w:szCs w:val="18"/>
        <w:lang w:val="en-US" w:eastAsia="zh-CN"/>
      </w:rPr>
      <w:fldChar w:fldCharType="begin"/>
    </w:r>
    <w:r>
      <w:rPr>
        <w:rFonts w:hint="eastAsia" w:ascii="宋体" w:hAnsi="宋体" w:eastAsia="宋体" w:cs="宋体"/>
        <w:sz w:val="18"/>
        <w:szCs w:val="18"/>
        <w:lang w:val="en-US" w:eastAsia="zh-CN"/>
      </w:rPr>
      <w:instrText xml:space="preserve"> HYPERLINK "http://www.ykpass.com.cn" </w:instrText>
    </w:r>
    <w:r>
      <w:rPr>
        <w:rFonts w:hint="eastAsia" w:ascii="宋体" w:hAnsi="宋体" w:eastAsia="宋体" w:cs="宋体"/>
        <w:sz w:val="18"/>
        <w:szCs w:val="18"/>
        <w:lang w:val="en-US" w:eastAsia="zh-CN"/>
      </w:rPr>
      <w:fldChar w:fldCharType="separate"/>
    </w:r>
    <w:r>
      <w:rPr>
        <w:rStyle w:val="8"/>
        <w:rFonts w:hint="eastAsia" w:ascii="宋体" w:hAnsi="宋体" w:eastAsia="宋体" w:cs="宋体"/>
        <w:sz w:val="18"/>
        <w:szCs w:val="18"/>
        <w:lang w:val="en-US" w:eastAsia="zh-CN"/>
      </w:rPr>
      <w:t>www.ykpass.com.cn</w:t>
    </w:r>
    <w:r>
      <w:rPr>
        <w:rFonts w:hint="eastAsia" w:ascii="宋体" w:hAnsi="宋体" w:eastAsia="宋体" w:cs="宋体"/>
        <w:sz w:val="18"/>
        <w:szCs w:val="18"/>
        <w:lang w:val="en-US" w:eastAsia="zh-CN"/>
      </w:rPr>
      <w:fldChar w:fldCharType="end"/>
    </w:r>
    <w:r>
      <w:rPr>
        <w:rFonts w:hint="eastAsia" w:ascii="宋体" w:hAnsi="宋体" w:eastAsia="宋体" w:cs="宋体"/>
        <w:sz w:val="18"/>
        <w:szCs w:val="18"/>
        <w:lang w:val="en-US" w:eastAsia="zh-CN"/>
      </w:rPr>
      <w:t xml:space="preserve">  电话：</w:t>
    </w:r>
    <w:r>
      <w:rPr>
        <w:rFonts w:ascii="宋体" w:hAnsi="宋体" w:eastAsia="宋体" w:cs="宋体"/>
        <w:sz w:val="18"/>
        <w:szCs w:val="18"/>
      </w:rPr>
      <w:t>400-628-6615转1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F13C8"/>
    <w:multiLevelType w:val="multilevel"/>
    <w:tmpl w:val="21DF13C8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00" w:hanging="420"/>
      </w:pPr>
    </w:lvl>
    <w:lvl w:ilvl="2" w:tentative="0">
      <w:start w:val="1"/>
      <w:numFmt w:val="lowerRoman"/>
      <w:lvlText w:val="%3."/>
      <w:lvlJc w:val="right"/>
      <w:pPr>
        <w:ind w:left="1620" w:hanging="420"/>
      </w:pPr>
    </w:lvl>
    <w:lvl w:ilvl="3" w:tentative="0">
      <w:start w:val="1"/>
      <w:numFmt w:val="decimal"/>
      <w:lvlText w:val="%4."/>
      <w:lvlJc w:val="left"/>
      <w:pPr>
        <w:ind w:left="2040" w:hanging="420"/>
      </w:pPr>
    </w:lvl>
    <w:lvl w:ilvl="4" w:tentative="0">
      <w:start w:val="1"/>
      <w:numFmt w:val="lowerLetter"/>
      <w:lvlText w:val="%5)"/>
      <w:lvlJc w:val="left"/>
      <w:pPr>
        <w:ind w:left="2460" w:hanging="420"/>
      </w:pPr>
    </w:lvl>
    <w:lvl w:ilvl="5" w:tentative="0">
      <w:start w:val="1"/>
      <w:numFmt w:val="lowerRoman"/>
      <w:lvlText w:val="%6."/>
      <w:lvlJc w:val="right"/>
      <w:pPr>
        <w:ind w:left="2880" w:hanging="420"/>
      </w:pPr>
    </w:lvl>
    <w:lvl w:ilvl="6" w:tentative="0">
      <w:start w:val="1"/>
      <w:numFmt w:val="decimal"/>
      <w:lvlText w:val="%7."/>
      <w:lvlJc w:val="left"/>
      <w:pPr>
        <w:ind w:left="3300" w:hanging="420"/>
      </w:pPr>
    </w:lvl>
    <w:lvl w:ilvl="7" w:tentative="0">
      <w:start w:val="1"/>
      <w:numFmt w:val="lowerLetter"/>
      <w:lvlText w:val="%8)"/>
      <w:lvlJc w:val="left"/>
      <w:pPr>
        <w:ind w:left="3720" w:hanging="420"/>
      </w:pPr>
    </w:lvl>
    <w:lvl w:ilvl="8" w:tentative="0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32661"/>
    <w:rsid w:val="000B27E7"/>
    <w:rsid w:val="001303C2"/>
    <w:rsid w:val="00146C41"/>
    <w:rsid w:val="00161DA0"/>
    <w:rsid w:val="001A2EC6"/>
    <w:rsid w:val="001C32CA"/>
    <w:rsid w:val="00237EBD"/>
    <w:rsid w:val="00274A61"/>
    <w:rsid w:val="00294776"/>
    <w:rsid w:val="002B57BD"/>
    <w:rsid w:val="002C520A"/>
    <w:rsid w:val="002E1F1C"/>
    <w:rsid w:val="00392E09"/>
    <w:rsid w:val="003C0DE4"/>
    <w:rsid w:val="003D6C09"/>
    <w:rsid w:val="00462E27"/>
    <w:rsid w:val="004A0752"/>
    <w:rsid w:val="004E3012"/>
    <w:rsid w:val="00590506"/>
    <w:rsid w:val="00632661"/>
    <w:rsid w:val="00700281"/>
    <w:rsid w:val="00780D89"/>
    <w:rsid w:val="007E1A7A"/>
    <w:rsid w:val="008F1262"/>
    <w:rsid w:val="00931403"/>
    <w:rsid w:val="00976682"/>
    <w:rsid w:val="009A789F"/>
    <w:rsid w:val="00A30FB5"/>
    <w:rsid w:val="00A75C36"/>
    <w:rsid w:val="00B75912"/>
    <w:rsid w:val="00BD2C99"/>
    <w:rsid w:val="00C5110E"/>
    <w:rsid w:val="00C71F51"/>
    <w:rsid w:val="00C959DB"/>
    <w:rsid w:val="00C970CE"/>
    <w:rsid w:val="00CD2248"/>
    <w:rsid w:val="00CE0DE1"/>
    <w:rsid w:val="00D15645"/>
    <w:rsid w:val="00D20134"/>
    <w:rsid w:val="00DD6A41"/>
    <w:rsid w:val="00E11215"/>
    <w:rsid w:val="00F374F6"/>
    <w:rsid w:val="22CF194D"/>
    <w:rsid w:val="308808D3"/>
    <w:rsid w:val="48431259"/>
    <w:rsid w:val="621206F1"/>
    <w:rsid w:val="75351D29"/>
    <w:rsid w:val="7B2C7EAF"/>
    <w:rsid w:val="7D4F40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3"/>
    <w:unhideWhenUsed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7">
    <w:name w:val="Default Paragraph Font"/>
    <w:semiHidden/>
    <w:unhideWhenUsed/>
    <w:uiPriority w:val="1"/>
  </w:style>
  <w:style w:type="table" w:default="1" w:styleId="9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1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8">
    <w:name w:val="Hyperlink"/>
    <w:basedOn w:val="7"/>
    <w:unhideWhenUsed/>
    <w:uiPriority w:val="99"/>
    <w:rPr>
      <w:color w:val="0000FF" w:themeColor="hyperlink"/>
      <w:u w:val="single"/>
    </w:rPr>
  </w:style>
  <w:style w:type="character" w:customStyle="1" w:styleId="10">
    <w:name w:val="页眉 Char"/>
    <w:basedOn w:val="7"/>
    <w:link w:val="5"/>
    <w:uiPriority w:val="99"/>
    <w:rPr>
      <w:sz w:val="18"/>
      <w:szCs w:val="18"/>
    </w:rPr>
  </w:style>
  <w:style w:type="character" w:customStyle="1" w:styleId="11">
    <w:name w:val="页脚 Char"/>
    <w:basedOn w:val="7"/>
    <w:link w:val="4"/>
    <w:semiHidden/>
    <w:uiPriority w:val="99"/>
    <w:rPr>
      <w:sz w:val="18"/>
      <w:szCs w:val="18"/>
    </w:rPr>
  </w:style>
  <w:style w:type="character" w:customStyle="1" w:styleId="12">
    <w:name w:val="批注框文本 Char"/>
    <w:basedOn w:val="7"/>
    <w:link w:val="3"/>
    <w:semiHidden/>
    <w:uiPriority w:val="99"/>
    <w:rPr>
      <w:sz w:val="18"/>
      <w:szCs w:val="18"/>
    </w:rPr>
  </w:style>
  <w:style w:type="character" w:customStyle="1" w:styleId="13">
    <w:name w:val="标题 2 Char"/>
    <w:basedOn w:val="7"/>
    <w:link w:val="2"/>
    <w:uiPriority w:val="9"/>
    <w:rPr>
      <w:rFonts w:ascii="宋体" w:hAnsi="宋体" w:eastAsia="宋体" w:cs="宋体"/>
      <w:b/>
      <w:bCs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7</Pages>
  <Words>711</Words>
  <Characters>4054</Characters>
  <Lines>33</Lines>
  <Paragraphs>9</Paragraphs>
  <TotalTime>0</TotalTime>
  <ScaleCrop>false</ScaleCrop>
  <LinksUpToDate>false</LinksUpToDate>
  <CharactersWithSpaces>4756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2016-11-22T04:05:00Z</dcterms:created>
  <dc:creator>jinjunliang</dc:creator>
  <cp:lastModifiedBy>Administrator</cp:lastModifiedBy>
  <dcterms:modified xsi:type="dcterms:W3CDTF">2018-03-19T02:00:01Z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