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widowControl/>
        <w:spacing w:before="100" w:beforeAutospacing="1" w:after="100" w:afterAutospacing="1"/>
        <w:jc w:val="left"/>
        <w:outlineLvl w:val="0"/>
        <w:rPr>
          <w:rFonts w:ascii="宋体" w:hAnsi="宋体" w:eastAsia="宋体" w:cs="宋体"/>
          <w:b/>
          <w:bCs/>
          <w:kern w:val="36"/>
          <w:sz w:val="48"/>
          <w:szCs w:val="48"/>
        </w:rPr>
      </w:pPr>
      <w:r>
        <w:rPr>
          <w:rFonts w:ascii="宋体" w:hAnsi="宋体" w:eastAsia="宋体" w:cs="宋体"/>
          <w:b/>
          <w:bCs/>
          <w:kern w:val="36"/>
          <w:sz w:val="48"/>
          <w:szCs w:val="48"/>
        </w:rPr>
        <w:t>2016年临床执业医师考试大纲-药理学</w:t>
      </w:r>
    </w:p>
    <w:p>
      <w:pPr>
        <w:rPr>
          <w:rFonts w:hint="eastAsia" w:ascii="微软雅黑" w:hAnsi="微软雅黑" w:eastAsia="微软雅黑"/>
        </w:rPr>
      </w:pPr>
      <w:r>
        <w:rPr>
          <w:rFonts w:ascii="微软雅黑" w:hAnsi="微软雅黑" w:eastAsia="微软雅黑"/>
        </w:rPr>
        <w:t>2016年临床执业医师考试大纲-《药理学》已于2015年12月公布，</w:t>
      </w:r>
      <w:r>
        <w:rPr>
          <w:rFonts w:hint="eastAsia" w:ascii="微软雅黑" w:hAnsi="微软雅黑" w:eastAsia="微软雅黑"/>
        </w:rPr>
        <w:t>医学考试在线</w:t>
      </w:r>
      <w:r>
        <w:rPr>
          <w:rFonts w:ascii="微软雅黑" w:hAnsi="微软雅黑" w:eastAsia="微软雅黑"/>
        </w:rPr>
        <w:t>为考生搜集整理2016年临床执业医师考试大纲，帮助考生备考2016年临床执业医师考试，预祝考生顺利通过2016年医师资格考试。</w:t>
      </w:r>
    </w:p>
    <w:tbl>
      <w:tblPr>
        <w:tblStyle w:val="9"/>
        <w:tblW w:w="8336" w:type="dxa"/>
        <w:jc w:val="center"/>
        <w:tblCellSpacing w:w="0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192"/>
        <w:gridCol w:w="2292"/>
        <w:gridCol w:w="2852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  <w:t>单元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  <w:t>细目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  <w:t>要点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一、药物效应动力学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      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1.不良反应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（1）副反应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（2）毒性反应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（3）后遗效应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（4）停药反应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（5）变态反应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（6）特异质反应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2.药物剂量与效应关系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（1）半数有效量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（2）治疗指数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3.药物与受体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（1）激动药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（2）拮抗药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二、药物代谢动力学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1.吸收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首过消除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2.分布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（1）血脑屏障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（2）胎盘屏障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3.体内药量变化的时间过程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生物利用度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4.药物消除动力学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（1）一级消除动力学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（2）零级消除动力学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三、胆碱受体激动药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1.乙酰胆碱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药理作用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2.毛果芸香碱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（1）药理作用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四、抗胆碱酯酶药和胆碱酯酶复活药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1.易逆性抗胆碱酯酶药新东.方医学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（1）作用机制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（2）药理作用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（3）新斯的明的临床应用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2.难逆性抗胆碱酯药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（1）毒理作用机制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（2）急性中毒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3.胆碱酯酶复活药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碘解磷定的药理作用及临床应用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五、M胆碱受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体阻断药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阿托品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（1）药理作用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（2）临床应用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（3）不良反应及中毒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六、肾上腺素受体激动药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1.去甲肾上腺素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（1）药理作用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（2）临床应用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（3）不良反应及禁忌证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2.肾上腺素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（1）药理作用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3.多巴胺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（1）药理作用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4.异丙肾上腺素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（1）药理作用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七、肾上腺素受体阻断药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1.α肾上腺素受体阻断药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酚妥拉明的药理作用及临床应用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2.β肾上腺素受体阻断药新东.方医学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（1）药理作用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（2）临床应用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（3）不良反应及禁忌证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（4）代表药物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八、局部麻醉药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1.局麻作用及作用机制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（1）局麻作用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（2）作用机制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2.常用局麻药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（1）普鲁卡因的临床应用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（2）利多卡因的临床应用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（3）丁卡因的临床应用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九、镇静催眠药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苯二氮 类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（1）药理作用及临床应用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（2）作用机制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十、抗癫痫药和抗惊厥药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1.苯妥英钠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（1）药理作用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2.卡马西平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药理作用及临床应用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3.苯巴比妥、扑米酮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临床应用医学|教育网搜集整理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4.乙琥胺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临床应用及不良反应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5.丙戊酸钠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临床应用及不良反应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6.硫酸镁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药理作用及临床应用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十一、抗帕金森病药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1.左旋多巴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（1）体内过程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（2）药理作用及临床应用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（3）不良反应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2.卡比多巴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药理作用及临床应用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3.苯海索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药理作用及临床应用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十二、抗精神失常药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1.氯丙嗪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（1）药理作用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（2）临床应用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（3）不良反应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2.丙米嗪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（1）药理作用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3.碳酸锂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药理作用及不良反应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4.氯氮平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药理作用及临床应用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十三、镇痛药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1.吗啡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（1）药理作用及作用机制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（2）临床应用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（3）不良反应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2.哌替啶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（1）药理作用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（2）临床应用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（3）不良反应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3.纳洛酮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药理作用及临床应用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8336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drawing>
                <wp:inline distT="0" distB="0" distL="0" distR="0">
                  <wp:extent cx="5895975" cy="5467350"/>
                  <wp:effectExtent l="19050" t="0" r="9525" b="0"/>
                  <wp:docPr id="1" name="图片 1" descr="2016年临床执业医师《药理学》考试大纲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2016年临床执业医师《药理学》考试大纲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95975" cy="54673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十七、治疗充血性心力衰竭的药物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1.β肾上腺索受体阻断药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卡维地洛/美托洛尔的药理作用和作用机制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2.血管紧张素转化酶抑制药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抗心衰的作用机制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3.利尿药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呋塞米的药理作用和临床应用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4.强心苷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（1）地高辛的药理作用和作用机制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（2）地高辛的临床应用和不良反应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十八、抗心绞痛药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1.硝酸甘油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（1）药理作用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（2）作用机制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2.β肾上腺素受体阻断药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（1）药理作用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3.钙拮抗药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抗心绞痛作用及临床应用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十九、抗动脉粥样硬化药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1.HMG-CoA还原酶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抑制药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（1）药理作用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（2）临床应用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（3）不良反应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（4）代表药物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2.贝特类药物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药理作用及调血脂机制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3.胆汁酸结合树脂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考来烯胺的药理作用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二十、抗高血压药　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1.利尿药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药理作用、作用机制及临床应用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2.钙拮抗药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药理作用及不良反应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3.β肾上腺素受体阻断药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抗高血压的作用及作用机制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4.血管紧张素转化酶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抑制药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（1）药理作用及作用机制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（2）临床应用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（3）不良反应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（4）代表药物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5.血管紧张素Ⅱ受体阻断药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氯沙坦药理作用及作用机制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二十一、利尿药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1.袢利尿药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药理作用、临床应用及不良反应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2.噻嗪类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药理作用、临床应用及不良反应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3.保钾利尿药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螺内酯的药理作用、临床应用及不良反应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4.碳酸酐酶抑制药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乙酰唑胺的药理作用、临床应用及不良反应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5.渗透性利尿药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甘露醇的药理作用及临床应用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二十二、作用于血液及造血器官的药物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1.肝素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（1）药理作用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2.香豆素类抗凝血药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（1）药理作用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（2）药物相互作用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3.抗血小板药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（1）阿司匹林的作用、作用机制及临床应用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（2）双嘧达莫的作用机制和临床应用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4.纤维蛋白溶解药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链激酶的作用及临床应用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S.促凝血药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维生素K的临床应用及不良反应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6.抗贫血药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（1）铁剂的临床应用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（2）叶酸的药理作用和临床应用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（3）维生素B12的药理作用和临床应用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7.血容量扩充剂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右旋糖酐的药理作用及临床应用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二十三、组胺受体阻断药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1.H1受体阻断药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（1）氯苯那敏的药理作用、临床应用及不良反应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（2）氯雷他定的药理作用、临床应用及不良反应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2.H2受体阻断药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雷尼替丁的药理作用及临床应用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二十四、作用于呼吸系统的药物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1.抗炎平喘药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糖皮质激素的药理作用及临床应用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2.支气管扩张药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（1）沙丁胺醇、特布他林的药理作用和临床应用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（2）氨茶碱的药理作用、作用机制及临床应用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3.抗过敏平喘药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色甘酸钠的药理作用及临床应用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二十五、作用于消化系统的药物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抗消化性溃疡药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（1）奥美拉唑的药理作用、临床应用及不良反应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（2）雷尼替丁的药理作用及临床应用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二十六、肾上腺皮质激素类药物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糖皮质激素类药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（1）药理作用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（2）临床应用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（3）不良反应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（4）代表药物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二十七、甲状腺激素及抗甲状腺药物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抗甲状腺药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（1）硫脲类的药理作用、临床应用及不良反应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（2）碘及碘化物药理作用、临床应用及不良反应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二十八、胰岛素及口服降血糖药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1.胰岛素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胰岛素的药理作用、作用机制及临床应用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2.口服降血糖药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（1）胰岛素增敏剂罗格列酮的药理作用及临床应用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（2）磺酰脲类的药理作用及临床应用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（3）双胍类的药理作用及临床应用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（4）α葡萄糖苷酶抑制剂阿卡波糖的药理作用及临床应用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二十九、β-内酰胺类抗生素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1.青霉素类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（1）青霉素G的抗菌作用、临床应用及不良反应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（2）氨苄西林、阿莫西林的抗菌作用及临床应用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2.头孢菌素类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（1）各代产品的特点及常用药物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三十、大环内酯类及林可霉素类抗生素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1.红霉素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（1）抗菌作用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2.林可霉素类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林可霉素、克林霉素的抗菌作用及临床应用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三十一、氨基苷类抗生素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1.氨基苷类抗生素的共性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（1）抗菌作用及作用机制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（2）不良反应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2.常用氨基苷类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庆大霉素、妥布霉素、阿米卡星的临床应用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三十二、四环素类及氯霉素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1.四环素类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（1）四环素、多西环素、米诺环素的抗菌作用及临床应用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（2）不良反应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2.氯霉素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（1）抗菌作用及临床应用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（2）不良反应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三十三、人工合成的抗菌药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1.喹诺酮类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第三代喹诺酮类药物的抗菌作用、作用机制、临床应用及不良反应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2.磺胺类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抗菌作用、作用机制及临床应用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3.其他类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（1）甲氧苄啶的抗菌作用、作用机制及临床应用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（2）甲硝唑的抗菌作用、作用机制及临床应用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三十四、抗真菌药和抗病毒药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1.抗真菌药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氟康唑的药理作用及临床应用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2.抗病毒药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利巴韦林的药理作用及临床应用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三十五、抗结核病药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1.异烟肼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（1）临床应用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（2）不良反应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2.利福平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（1）临床应用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（2）不良反应及药物相互作用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3.乙胺丁醇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（1）药理作用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4.吡嗪酰胺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（1）药理作用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三十六、抗疟药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1.主要用于控制症状的抗疟药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氯喹、青蒿素的药理作用及临床应用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2.主要用于控制远期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复发和传播的抗疟药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伯氨喹的药理作用、临床应用及不良反应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3.主要用于病因性预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防的抗疟药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乙胺嘧啶的药理作用及临床应用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三十七、抗恶性肿瘤药　</w:t>
            </w: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1.抗肿瘤药的分类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（1）干扰核酸合成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（2）破坏DNA结构与功能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（3）嵌入DNA及干扰转录RNA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       （4）干扰蛋白质合成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3192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2.常用药物　</w:t>
            </w:r>
          </w:p>
        </w:tc>
        <w:tc>
          <w:tcPr>
            <w:tcW w:w="28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甲氨蝶呤、巯嘌呤、羟基脲、环磷酰胺、氟尿嘧啶、阿霉素的临床应用　</w:t>
            </w:r>
          </w:p>
        </w:tc>
      </w:tr>
    </w:tbl>
    <w:p>
      <w:pPr>
        <w:rPr>
          <w:rFonts w:ascii="微软雅黑" w:hAnsi="微软雅黑" w:eastAsia="微软雅黑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decorative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decorative"/>
    <w:pitch w:val="default"/>
    <w:sig w:usb0="80000287" w:usb1="280F3C52" w:usb2="00000016" w:usb3="00000000" w:csb0="0004001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roman"/>
    <w:pitch w:val="default"/>
    <w:sig w:usb0="80000287" w:usb1="280F3C52" w:usb2="00000016" w:usb3="00000000" w:csb0="0004001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modern"/>
    <w:pitch w:val="default"/>
    <w:sig w:usb0="80000287" w:usb1="280F3C52" w:usb2="00000016" w:usb3="00000000" w:csb0="0004001F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roman"/>
    <w:pitch w:val="default"/>
    <w:sig w:usb0="E0002AFF" w:usb1="C0007843" w:usb2="00000009" w:usb3="00000000" w:csb0="400001FF" w:csb1="FFFF0000"/>
  </w:font>
  <w:font w:name="Arial">
    <w:panose1 w:val="020B0604020202020204"/>
    <w:charset w:val="00"/>
    <w:family w:val="modern"/>
    <w:pitch w:val="default"/>
    <w:sig w:usb0="E0002AFF" w:usb1="C0007843" w:usb2="00000009" w:usb3="00000000" w:csb0="400001FF" w:csb1="FFFF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5"/>
      <w:jc w:val="both"/>
      <w:rPr>
        <w:rFonts w:hint="eastAsia" w:ascii="宋体" w:hAnsi="宋体"/>
      </w:rPr>
    </w:pPr>
    <w:r>
      <w:rPr>
        <w:rFonts w:hint="eastAsia"/>
      </w:rPr>
      <w:t xml:space="preserve"> </w:t>
    </w:r>
    <w:r>
      <w:rPr>
        <w:rFonts w:ascii="宋体" w:hAnsi="宋体" w:eastAsia="宋体" w:cs="宋体"/>
        <w:sz w:val="24"/>
        <w:szCs w:val="24"/>
      </w:rPr>
      <w:fldChar w:fldCharType="begin"/>
    </w:r>
    <w:r>
      <w:rPr>
        <w:rFonts w:ascii="宋体" w:hAnsi="宋体" w:eastAsia="宋体" w:cs="宋体"/>
        <w:sz w:val="24"/>
        <w:szCs w:val="24"/>
      </w:rPr>
      <w:instrText xml:space="preserve">INCLUDEPICTURE \d "http://ykpass.com.cn/dist/img/logo.png" \* MERGEFORMATINET </w:instrText>
    </w:r>
    <w:r>
      <w:rPr>
        <w:rFonts w:ascii="宋体" w:hAnsi="宋体" w:eastAsia="宋体" w:cs="宋体"/>
        <w:sz w:val="24"/>
        <w:szCs w:val="24"/>
      </w:rPr>
      <w:fldChar w:fldCharType="separate"/>
    </w:r>
    <w:r>
      <w:rPr>
        <w:rFonts w:ascii="宋体" w:hAnsi="宋体" w:eastAsia="宋体" w:cs="宋体"/>
        <w:sz w:val="24"/>
        <w:szCs w:val="24"/>
      </w:rPr>
      <w:drawing>
        <wp:inline distT="0" distB="0" distL="114300" distR="114300">
          <wp:extent cx="1800225" cy="561975"/>
          <wp:effectExtent l="0" t="0" r="9525" b="9525"/>
          <wp:docPr id="2" name="图片 2" descr="IMG_2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IMG_256"/>
                  <pic:cNvPicPr>
                    <a:picLocks noChangeAspect="1"/>
                  </pic:cNvPicPr>
                </pic:nvPicPr>
                <pic:blipFill>
                  <a:blip r:embed="rId1" r:link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800225" cy="561975"/>
                  </a:xfrm>
                  <a:prstGeom prst="rect">
                    <a:avLst/>
                  </a:prstGeom>
                  <a:noFill/>
                  <a:ln w="9525">
                    <a:noFill/>
                    <a:miter/>
                  </a:ln>
                  <a:effectLst/>
                </pic:spPr>
              </pic:pic>
            </a:graphicData>
          </a:graphic>
        </wp:inline>
      </w:drawing>
    </w:r>
    <w:r>
      <w:rPr>
        <w:rFonts w:ascii="宋体" w:hAnsi="宋体" w:eastAsia="宋体" w:cs="宋体"/>
        <w:sz w:val="24"/>
        <w:szCs w:val="24"/>
      </w:rPr>
      <w:fldChar w:fldCharType="end"/>
    </w:r>
    <w:r>
      <w:rPr>
        <w:rFonts w:hint="eastAsia" w:ascii="宋体" w:hAnsi="宋体" w:eastAsia="宋体" w:cs="宋体"/>
        <w:sz w:val="24"/>
        <w:szCs w:val="24"/>
        <w:lang w:val="en-US" w:eastAsia="zh-CN"/>
      </w:rPr>
      <w:t xml:space="preserve">    </w:t>
    </w:r>
    <w:r>
      <w:rPr>
        <w:rFonts w:hint="eastAsia"/>
        <w:lang w:eastAsia="zh-CN"/>
      </w:rPr>
      <w:t>医学考试在线</w:t>
    </w:r>
    <w:r>
      <w:rPr>
        <w:rFonts w:hint="eastAsia" w:ascii="宋体" w:hAnsi="宋体"/>
      </w:rPr>
      <w:t>(</w:t>
    </w:r>
    <w:r>
      <w:fldChar w:fldCharType="begin"/>
    </w:r>
    <w:r>
      <w:instrText xml:space="preserve"> HYPERLINK "http://yixue.koolearn.com/" </w:instrText>
    </w:r>
    <w:r>
      <w:fldChar w:fldCharType="separate"/>
    </w:r>
    <w:r>
      <w:rPr>
        <w:rStyle w:val="8"/>
        <w:rFonts w:ascii="宋体" w:hAnsi="宋体"/>
      </w:rPr>
      <w:t>http://</w:t>
    </w:r>
    <w:r>
      <w:rPr>
        <w:rStyle w:val="8"/>
        <w:rFonts w:hint="eastAsia" w:ascii="宋体" w:hAnsi="宋体"/>
        <w:lang w:val="en-US" w:eastAsia="zh-CN"/>
      </w:rPr>
      <w:t>www.ykpass.com.cn</w:t>
    </w:r>
    <w:r>
      <w:rPr>
        <w:rStyle w:val="8"/>
        <w:rFonts w:ascii="宋体" w:hAnsi="宋体"/>
      </w:rPr>
      <w:t>/</w:t>
    </w:r>
    <w:r>
      <w:rPr>
        <w:rFonts w:ascii="宋体" w:hAnsi="宋体"/>
      </w:rPr>
      <w:fldChar w:fldCharType="end"/>
    </w:r>
    <w:r>
      <w:rPr>
        <w:rFonts w:hint="eastAsia" w:ascii="宋体" w:hAnsi="宋体"/>
      </w:rPr>
      <w:t>)电话400-6286615</w:t>
    </w:r>
  </w:p>
  <w:p>
    <w:pPr>
      <w:pStyle w:val="5"/>
    </w:pPr>
    <w:bookmarkStart w:id="0" w:name="_GoBack"/>
    <w:bookmarkEnd w:id="0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A3C7C"/>
    <w:rsid w:val="003177F4"/>
    <w:rsid w:val="00DA3C7C"/>
    <w:rsid w:val="2B086F4C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2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6">
    <w:name w:val="Default Paragraph Font"/>
    <w:unhideWhenUsed/>
    <w:uiPriority w:val="1"/>
  </w:style>
  <w:style w:type="table" w:default="1" w:styleId="9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3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Strong"/>
    <w:basedOn w:val="6"/>
    <w:qFormat/>
    <w:uiPriority w:val="22"/>
    <w:rPr>
      <w:b/>
      <w:bCs/>
    </w:rPr>
  </w:style>
  <w:style w:type="character" w:styleId="8">
    <w:name w:val="Hyperlink"/>
    <w:basedOn w:val="6"/>
    <w:unhideWhenUsed/>
    <w:uiPriority w:val="99"/>
    <w:rPr>
      <w:color w:val="0000FF"/>
      <w:u w:val="none"/>
    </w:rPr>
  </w:style>
  <w:style w:type="character" w:customStyle="1" w:styleId="10">
    <w:name w:val="页眉 Char"/>
    <w:basedOn w:val="6"/>
    <w:link w:val="5"/>
    <w:semiHidden/>
    <w:qFormat/>
    <w:uiPriority w:val="99"/>
    <w:rPr>
      <w:sz w:val="18"/>
      <w:szCs w:val="18"/>
    </w:rPr>
  </w:style>
  <w:style w:type="character" w:customStyle="1" w:styleId="11">
    <w:name w:val="页脚 Char"/>
    <w:basedOn w:val="6"/>
    <w:link w:val="4"/>
    <w:semiHidden/>
    <w:qFormat/>
    <w:uiPriority w:val="99"/>
    <w:rPr>
      <w:sz w:val="18"/>
      <w:szCs w:val="18"/>
    </w:rPr>
  </w:style>
  <w:style w:type="character" w:customStyle="1" w:styleId="12">
    <w:name w:val="标题 1 Char"/>
    <w:basedOn w:val="6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13">
    <w:name w:val="批注框文本 Char"/>
    <w:basedOn w:val="6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http://ykpass.com.cn/dist/img/logo.png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7</Pages>
  <Words>661</Words>
  <Characters>3768</Characters>
  <Lines>31</Lines>
  <Paragraphs>8</Paragraphs>
  <TotalTime>0</TotalTime>
  <ScaleCrop>false</ScaleCrop>
  <LinksUpToDate>false</LinksUpToDate>
  <CharactersWithSpaces>4421</CharactersWithSpaces>
  <Application>WPS Office_10.1.0.5400_F1E327BC-269C-435d-A152-05C5408002CA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2015-12-08T07:17:00Z</dcterms:created>
  <dc:creator>微软用户</dc:creator>
  <cp:lastModifiedBy>Administrator</cp:lastModifiedBy>
  <dcterms:modified xsi:type="dcterms:W3CDTF">2015-12-08T08:07:21Z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2052-10.1.0.5400</vt:lpwstr>
  </property>
</Properties>
</file>