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2019年临床执业医师《代谢、</w:t>
      </w:r>
      <w:r>
        <w:rPr>
          <w:rFonts w:ascii="宋体" w:hAnsi="宋体"/>
          <w:b/>
          <w:sz w:val="24"/>
          <w:szCs w:val="24"/>
        </w:rPr>
        <w:t>内分泌系统</w:t>
      </w:r>
      <w:r>
        <w:rPr>
          <w:rFonts w:hint="eastAsia" w:ascii="宋体" w:hAnsi="宋体"/>
          <w:b/>
          <w:sz w:val="24"/>
          <w:szCs w:val="24"/>
        </w:rPr>
        <w:t>》考试大纲</w:t>
      </w:r>
    </w:p>
    <w:p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2019年临床执业医师《代谢、内分泌系统》考试大纲已经顺利公布，请广大临床执业医师考生参考：</w:t>
      </w:r>
      <w:bookmarkStart w:id="0" w:name="_GoBack"/>
      <w:bookmarkEnd w:id="0"/>
    </w:p>
    <w:tbl>
      <w:tblPr>
        <w:tblStyle w:val="7"/>
        <w:tblW w:w="9347" w:type="dxa"/>
        <w:jc w:val="center"/>
        <w:tblCellSpacing w:w="0" w:type="dxa"/>
        <w:tblInd w:w="-932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8"/>
        <w:gridCol w:w="2694"/>
        <w:gridCol w:w="556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88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七、</w:t>
            </w:r>
            <w:r>
              <w:rPr>
                <w:rFonts w:hint="eastAsia" w:ascii="宋体" w:hAnsi="宋体"/>
                <w:sz w:val="24"/>
                <w:szCs w:val="24"/>
              </w:rPr>
              <w:t>代谢、</w:t>
            </w:r>
            <w:r>
              <w:rPr>
                <w:rFonts w:ascii="宋体" w:hAnsi="宋体"/>
                <w:sz w:val="24"/>
                <w:szCs w:val="24"/>
              </w:rPr>
              <w:t>内分泌系统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（一）内分泌及代谢疾病概述</w:t>
            </w:r>
          </w:p>
        </w:tc>
        <w:tc>
          <w:tcPr>
            <w:tcW w:w="55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8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1.内分泌系统概述</w:t>
            </w:r>
          </w:p>
        </w:tc>
        <w:tc>
          <w:tcPr>
            <w:tcW w:w="55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（1）概念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（2）内分泌系统、器官和组织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（3）内分泌器官的生理功能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8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2.内分泌及代谢疾病</w:t>
            </w:r>
          </w:p>
        </w:tc>
        <w:tc>
          <w:tcPr>
            <w:tcW w:w="55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（1）内分泌及代谢疾病常见临床表现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（2）内分泌疾病的功能状态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（3）内分泌疾病病因诊断、功能诊断和定位诊断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（4）内分泌及代谢疾病的治疗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8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（二）下丘脑-垂体病</w:t>
            </w:r>
          </w:p>
        </w:tc>
        <w:tc>
          <w:tcPr>
            <w:tcW w:w="55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垂体的解剖和生理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8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1.垂体腺瘤</w:t>
            </w:r>
          </w:p>
        </w:tc>
        <w:tc>
          <w:tcPr>
            <w:tcW w:w="55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分类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8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2.泌乳素瘤</w:t>
            </w:r>
          </w:p>
        </w:tc>
        <w:tc>
          <w:tcPr>
            <w:tcW w:w="55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8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3.生长激素分泌瘤</w:t>
            </w:r>
          </w:p>
        </w:tc>
        <w:tc>
          <w:tcPr>
            <w:tcW w:w="55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8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4.腺垂体功能减退症</w:t>
            </w:r>
          </w:p>
        </w:tc>
        <w:tc>
          <w:tcPr>
            <w:tcW w:w="55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（1）病因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（4）治疗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8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5.中枢性尿崩症</w:t>
            </w:r>
          </w:p>
        </w:tc>
        <w:tc>
          <w:tcPr>
            <w:tcW w:w="55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（1）病因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（4）治疗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8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（三）甲状腺疾病</w:t>
            </w:r>
          </w:p>
        </w:tc>
        <w:tc>
          <w:tcPr>
            <w:tcW w:w="55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8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1.甲状腺的解剖和生理</w:t>
            </w:r>
          </w:p>
        </w:tc>
        <w:tc>
          <w:tcPr>
            <w:tcW w:w="55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（1）甲状腺解剖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（2）甲状腺生理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8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2.甲状腺功能亢进症</w:t>
            </w:r>
          </w:p>
        </w:tc>
        <w:tc>
          <w:tcPr>
            <w:tcW w:w="55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（1）病因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（3）诊断与鉴别诊断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（4）甲亢性心脏病的诊断和治疗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（5）甲亢合并周期性瘫痪的诊断和治疗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（6）甲状腺危象的诊断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（7）抗甲状腺药物治疗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（8）放射性碘治疗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（9）手术治疗及术前准备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8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3.甲状腺功能减退症</w:t>
            </w:r>
          </w:p>
        </w:tc>
        <w:tc>
          <w:tcPr>
            <w:tcW w:w="55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（1）病因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（3）诊断与鉴别诊断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（4）治疗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8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4.亚急性甲状腺炎</w:t>
            </w:r>
          </w:p>
        </w:tc>
        <w:tc>
          <w:tcPr>
            <w:tcW w:w="55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（2）诊断与鉴别诊断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8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5.单纯性甲状腺肿</w:t>
            </w:r>
          </w:p>
        </w:tc>
        <w:tc>
          <w:tcPr>
            <w:tcW w:w="55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（1）病因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（2）病理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（4）诊断与鉴别诊断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（5）治疗</w:t>
            </w:r>
            <w:r>
              <w:rPr>
                <w:rFonts w:hint="eastAsia" w:ascii="宋体" w:hAnsi="宋体"/>
                <w:sz w:val="24"/>
                <w:szCs w:val="24"/>
              </w:rPr>
              <w:t>与预防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8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6.甲状腺癌</w:t>
            </w:r>
          </w:p>
        </w:tc>
        <w:tc>
          <w:tcPr>
            <w:tcW w:w="55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（1）病理类型及临床-病理联系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8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（四）甲状旁腺疾病</w:t>
            </w:r>
          </w:p>
        </w:tc>
        <w:tc>
          <w:tcPr>
            <w:tcW w:w="55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甲状旁腺的解剖和生理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8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甲状旁腺功能亢进症</w:t>
            </w:r>
          </w:p>
        </w:tc>
        <w:tc>
          <w:tcPr>
            <w:tcW w:w="55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（1）病因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（4）治疗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8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（五）肾上腺疾病</w:t>
            </w:r>
          </w:p>
        </w:tc>
        <w:tc>
          <w:tcPr>
            <w:tcW w:w="55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肾上腺的解剖和生理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8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1.库欣综合征</w:t>
            </w:r>
          </w:p>
        </w:tc>
        <w:tc>
          <w:tcPr>
            <w:tcW w:w="55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（1）病因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（4）治疗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8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2.原发性醛固酮增多症</w:t>
            </w:r>
          </w:p>
        </w:tc>
        <w:tc>
          <w:tcPr>
            <w:tcW w:w="55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（1）病因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（4）治疗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8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3.原发性慢性肾上腺皮质功能减退</w:t>
            </w:r>
          </w:p>
        </w:tc>
        <w:tc>
          <w:tcPr>
            <w:tcW w:w="55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（1）病因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（4）治疗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（5）肾上腺危象的治疗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8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4.嗜铬细胞瘤</w:t>
            </w:r>
          </w:p>
        </w:tc>
        <w:tc>
          <w:tcPr>
            <w:tcW w:w="55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8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（六）糖尿病与低血糖症</w:t>
            </w:r>
          </w:p>
        </w:tc>
        <w:tc>
          <w:tcPr>
            <w:tcW w:w="55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胰岛的解剖和生理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8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1.糖尿病</w:t>
            </w:r>
          </w:p>
        </w:tc>
        <w:tc>
          <w:tcPr>
            <w:tcW w:w="55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（1）定义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（3）诊断和分型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（4）糖尿病急性并发症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（5）糖尿病慢性并发症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（6）综合防治原则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（7）降血糖药物治疗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（8）胰岛素治疗和胰岛素类似物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（9）糖尿病筛查及预防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8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2.低血糖症</w:t>
            </w:r>
          </w:p>
        </w:tc>
        <w:tc>
          <w:tcPr>
            <w:tcW w:w="55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（1）病因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（3）诊断与鉴别诊断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（4）治疗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8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</w:t>
            </w:r>
            <w:r>
              <w:rPr>
                <w:rFonts w:hint="eastAsia" w:ascii="宋体" w:hAnsi="宋体"/>
                <w:sz w:val="24"/>
                <w:szCs w:val="24"/>
              </w:rPr>
              <w:t>七</w:t>
            </w:r>
            <w:r>
              <w:rPr>
                <w:rFonts w:ascii="宋体" w:hAnsi="宋体"/>
                <w:sz w:val="24"/>
                <w:szCs w:val="24"/>
              </w:rPr>
              <w:t>）水、电解质代谢和酸碱平衡失调</w:t>
            </w:r>
          </w:p>
        </w:tc>
        <w:tc>
          <w:tcPr>
            <w:tcW w:w="55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防治原则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8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1.水和钠的代谢紊乱</w:t>
            </w:r>
          </w:p>
        </w:tc>
        <w:tc>
          <w:tcPr>
            <w:tcW w:w="55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（1）病因和分类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（4）治疗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8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2.低钾血症</w:t>
            </w:r>
          </w:p>
        </w:tc>
        <w:tc>
          <w:tcPr>
            <w:tcW w:w="55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（1）病因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8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3.高钾血症</w:t>
            </w:r>
          </w:p>
        </w:tc>
        <w:tc>
          <w:tcPr>
            <w:tcW w:w="55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（1）病因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8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4.代谢性酸中毒</w:t>
            </w:r>
          </w:p>
        </w:tc>
        <w:tc>
          <w:tcPr>
            <w:tcW w:w="55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（1）病因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（4）治疗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8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5.代谢性碱中毒</w:t>
            </w:r>
          </w:p>
        </w:tc>
        <w:tc>
          <w:tcPr>
            <w:tcW w:w="55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（1）病因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（4）治疗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6.低钙、高钙</w:t>
            </w:r>
          </w:p>
        </w:tc>
        <w:tc>
          <w:tcPr>
            <w:tcW w:w="55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>
              <w:rPr>
                <w:rFonts w:ascii="宋体" w:hAnsi="宋体"/>
                <w:color w:val="FF0000"/>
                <w:sz w:val="24"/>
                <w:szCs w:val="24"/>
              </w:rPr>
              <w:t>（1）病因</w:t>
            </w:r>
          </w:p>
          <w:p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>
              <w:rPr>
                <w:rFonts w:ascii="宋体" w:hAnsi="宋体"/>
                <w:color w:val="FF0000"/>
                <w:sz w:val="24"/>
                <w:szCs w:val="24"/>
              </w:rPr>
              <w:t>（2）临床表现</w:t>
            </w:r>
          </w:p>
          <w:p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>
              <w:rPr>
                <w:rFonts w:ascii="宋体" w:hAnsi="宋体"/>
                <w:color w:val="FF0000"/>
                <w:sz w:val="24"/>
                <w:szCs w:val="24"/>
              </w:rPr>
              <w:t>（3）诊断</w:t>
            </w:r>
          </w:p>
          <w:p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>
              <w:rPr>
                <w:rFonts w:ascii="宋体" w:hAnsi="宋体"/>
                <w:color w:val="FF0000"/>
                <w:sz w:val="24"/>
                <w:szCs w:val="24"/>
              </w:rPr>
              <w:t>（4）治疗</w:t>
            </w:r>
          </w:p>
        </w:tc>
      </w:tr>
    </w:tbl>
    <w:p>
      <w:pPr>
        <w:spacing w:line="360" w:lineRule="auto"/>
        <w:rPr>
          <w:rFonts w:ascii="宋体" w:hAnsi="宋体"/>
          <w:sz w:val="24"/>
          <w:szCs w:val="24"/>
        </w:rPr>
      </w:pPr>
    </w:p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  <w:rPr>
        <w:rFonts w:ascii="宋体" w:hAnsi="宋体"/>
      </w:rPr>
    </w:pPr>
    <w:r>
      <w:drawing>
        <wp:inline distT="0" distB="0" distL="0" distR="0">
          <wp:extent cx="1096010" cy="400050"/>
          <wp:effectExtent l="0" t="0" r="8890" b="0"/>
          <wp:docPr id="2" name="图片 1" descr="C:\Users\Administrator\Desktop\003.jpg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C:\Users\Administrator\Desktop\003.jpg00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96010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</w:rPr>
      <w:t>　　　　　　　　　</w:t>
    </w:r>
    <w:r>
      <w:rPr>
        <w:rFonts w:hint="eastAsia" w:ascii="宋体" w:hAnsi="宋体"/>
      </w:rPr>
      <w:t xml:space="preserve">　　 </w:t>
    </w:r>
    <w:r>
      <w:rPr>
        <w:rFonts w:hint="eastAsia" w:ascii="微软雅黑" w:hAnsi="微软雅黑" w:eastAsia="微软雅黑" w:cs="微软雅黑"/>
        <w:sz w:val="21"/>
        <w:szCs w:val="21"/>
      </w:rPr>
      <w:t>课程咨询：400-628-6615转1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21A"/>
    <w:rsid w:val="00112E42"/>
    <w:rsid w:val="001911B9"/>
    <w:rsid w:val="0040725E"/>
    <w:rsid w:val="005341A5"/>
    <w:rsid w:val="006827AD"/>
    <w:rsid w:val="00A4721A"/>
    <w:rsid w:val="00B11490"/>
    <w:rsid w:val="00C533B1"/>
    <w:rsid w:val="00DA4882"/>
    <w:rsid w:val="00F551F0"/>
    <w:rsid w:val="60687D4A"/>
    <w:rsid w:val="6F470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Hyperlink"/>
    <w:semiHidden/>
    <w:unhideWhenUsed/>
    <w:uiPriority w:val="99"/>
    <w:rPr>
      <w:color w:val="0000FF"/>
      <w:u w:val="single"/>
    </w:rPr>
  </w:style>
  <w:style w:type="character" w:customStyle="1" w:styleId="8">
    <w:name w:val="页眉 Char"/>
    <w:basedOn w:val="5"/>
    <w:link w:val="4"/>
    <w:semiHidden/>
    <w:uiPriority w:val="99"/>
    <w:rPr>
      <w:sz w:val="18"/>
      <w:szCs w:val="18"/>
    </w:rPr>
  </w:style>
  <w:style w:type="character" w:customStyle="1" w:styleId="9">
    <w:name w:val="页脚 Char"/>
    <w:basedOn w:val="5"/>
    <w:link w:val="3"/>
    <w:semiHidden/>
    <w:uiPriority w:val="99"/>
    <w:rPr>
      <w:sz w:val="18"/>
      <w:szCs w:val="18"/>
    </w:rPr>
  </w:style>
  <w:style w:type="character" w:customStyle="1" w:styleId="10">
    <w:name w:val="批注框文本 Char"/>
    <w:basedOn w:val="5"/>
    <w:link w:val="2"/>
    <w:semiHidden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206</Words>
  <Characters>1178</Characters>
  <Lines>9</Lines>
  <Paragraphs>2</Paragraphs>
  <TotalTime>0</TotalTime>
  <ScaleCrop>false</ScaleCrop>
  <LinksUpToDate>false</LinksUpToDate>
  <CharactersWithSpaces>1382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2017-03-21T02:41:00Z</dcterms:created>
  <dc:creator>DELL</dc:creator>
  <cp:lastModifiedBy>Administrator</cp:lastModifiedBy>
  <dcterms:modified xsi:type="dcterms:W3CDTF">2018-10-11T05:41:43Z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